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Kürzlich wurden neue Artikelnummern für zwei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Lautsprecher veröffentlicht (EM90 und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Die aktualisierten Modelle umfassen zahlreiche Verbesserungen. So bestehen Verankerung und Gehäuse fortan nicht mehr aus PC/ABS, sondern aus PC-PBT-Kunststoff und Aluminiumdruckguss, da diese Materialien weniger empfindlich gegenüber Speiseöl sind.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Sofern dies nicht durch örtlich geltende Gesetze oder Bauvorschriften vorgeschrieben ist, müssen daher keine Sicherungsseile mehr an EdgeMax Lautsprecher mit 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neuen Artikelnummern</w:t>
      </w:r>
      <w:r>
        <w:rPr>
          <w:sz w:val="22"/>
          <w:szCs w:val="22"/>
          <w:rStyle w:val="normaltextrun"/>
          <w:rFonts w:ascii="Calibri" w:hAnsi="Calibri"/>
        </w:rPr>
        <w:t xml:space="preserve"> angebracht werden, sodass diese auch nicht mehr im Lieferumfang der neuen Modelle enthalten sind. Die Verwendung von Sicherungsseilen wird jedoch weiterhin als eine Vorsichts- und Absicherungsmaßnahme für alle Installationen empfohlen.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Für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Lautsprecher aller vorherigen Artikelnummern sowie für alle Artikelnummern von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Lautsprechern, die in gewerblichen Räumlichkeiten mit Kochstellen installiert sind, sind Sicherungsseile allerdings nach wie vor erforderlich.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02B3035A-35C0-4866-8117-EF6914BC1FF2}"/>
</file>

<file path=customXml/itemProps2.xml><?xml version="1.0" encoding="utf-8"?>
<ds:datastoreItem xmlns:ds="http://schemas.openxmlformats.org/officeDocument/2006/customXml" ds:itemID="{E68D176D-5B6B-4CA9-8B9A-CEB770CB8CBF}"/>
</file>

<file path=customXml/itemProps3.xml><?xml version="1.0" encoding="utf-8"?>
<ds:datastoreItem xmlns:ds="http://schemas.openxmlformats.org/officeDocument/2006/customXml" ds:itemID="{FBA208C3-4C63-4519-B0DF-B19220D93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