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97F1A819-106C-4F78-A152-17B30F12E230}"/>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