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940A42F4-AF22-4E11-AA30-299CA45FB024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