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ACTUALIZACIÓN: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20 de febrero del 2020: Nuevos SKU de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 [además de la actualización de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, que sigue siendo válida]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eop"/>
          <w:sz w:val="22"/>
          <w:szCs w:val="22"/>
          <w:rFonts w:ascii="Calibri" w:hAnsi="Calibri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Recientemente, se han creado 4 nuevos SKU de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El anclaje y el bafle han sido cambiados de PC/ABS al nuevo plástico PC-PBT y aluminio fundido, que es más resistente a la exposición al aceite de cocina.</w:t>
      </w:r>
      <w:r>
        <w:rPr>
          <w:sz w:val="22"/>
          <w:szCs w:val="22"/>
          <w:rStyle w:val="normaltextrun"/>
          <w:rFonts w:ascii="Calibri" w:hAnsi="Calibri"/>
        </w:rPr>
        <w:t xml:space="preserve">  </w:t>
      </w:r>
      <w:r>
        <w:rPr>
          <w:sz w:val="22"/>
          <w:szCs w:val="22"/>
          <w:rStyle w:val="normaltextrun"/>
          <w:rFonts w:ascii="Calibri" w:hAnsi="Calibri"/>
        </w:rPr>
        <w:t xml:space="preserve">Aunque se recomienda como mecanismo de seguridad secundario en todas las instalaciones, los cables de seguridad, por lo tanto, 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no son necesarios para los nuevos SKU, a menos que así lo exijan los códigos o normativas locales </w:t>
      </w:r>
      <w:r>
        <w:rPr>
          <w:sz w:val="22"/>
          <w:szCs w:val="22"/>
          <w:rStyle w:val="normaltextrun"/>
          <w:rFonts w:ascii="Calibri" w:hAnsi="Calibri"/>
        </w:rPr>
        <w:t xml:space="preserve">y, en consecuencia, no se suministran en la caja con los nuevos SKU.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Los cables de seguridad son necesarios solo para los SKU anteriores de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 3 (y siguen siendo necesarios para los SKU de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 DS ) que estén instalados en entornos de cocina comerciales.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1780D06E-4921-4817-9518-38F68BFB0CB4}"/>
</file>

<file path=customXml/itemProps2.xml><?xml version="1.0" encoding="utf-8"?>
<ds:datastoreItem xmlns:ds="http://schemas.openxmlformats.org/officeDocument/2006/customXml" ds:itemID="{2FAB244B-80B1-4060-8907-CA533C0E3A04}"/>
</file>

<file path=customXml/itemProps3.xml><?xml version="1.0" encoding="utf-8"?>
<ds:datastoreItem xmlns:ds="http://schemas.openxmlformats.org/officeDocument/2006/customXml" ds:itemID="{15FB2308-2C73-4676-9132-FFCF7D94C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