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Nyligen har två nya artikelnummer för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 skapats (EM90 och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Många förbättringar har införlivats i dessa artikelnummer, bland annat har förankringen och baffeln ändrats från PC/ABS- till ny PC-PBT-plast och pressgjuten aluminium, som är mer motståndskraftig mot exponering för matolja.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Även om vi rekommenderar en sekundär säkringsmekanism i alla installationer,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krävs det inte längre säkerhetskablar för 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nya artikelnummer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om inte annat föreskrivs av lokala bestämmelser</w:t>
      </w:r>
      <w:r>
        <w:rPr>
          <w:sz w:val="22"/>
          <w:szCs w:val="22"/>
          <w:rStyle w:val="normaltextrun"/>
          <w:rFonts w:ascii="Calibri" w:hAnsi="Calibri"/>
        </w:rPr>
        <w:t xml:space="preserve"> och därför medföljer det inte i förpackningen med nya artikelnummer.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Säkerhetskablar krävs fortfarande för tidigare artikelnummer för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 och alla artikelnummer för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 som installerats i kommersiella matlagningsmiljöer.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93426127-DA1F-4504-A6A5-83EA6ECDAB5C}"/>
</file>

<file path=customXml/itemProps2.xml><?xml version="1.0" encoding="utf-8"?>
<ds:datastoreItem xmlns:ds="http://schemas.openxmlformats.org/officeDocument/2006/customXml" ds:itemID="{A4E45652-290E-4D6D-86C2-FC9827EC1578}"/>
</file>

<file path=customXml/itemProps3.xml><?xml version="1.0" encoding="utf-8"?>
<ds:datastoreItem xmlns:ds="http://schemas.openxmlformats.org/officeDocument/2006/customXml" ds:itemID="{1F98DB97-226D-419C-8349-AE4B870C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