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5DB7146B" w:rsidR="000C1828" w:rsidRPr="003D098A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b/>
          <w:sz w:val="24"/>
          <w:szCs w:val="24"/>
          <w:rFonts w:ascii="Gotham Bold" w:eastAsia="Times New Roman" w:hAnsi="Gotham Bold" w:cs="Times New Roman"/>
        </w:rPr>
      </w:pPr>
      <w:r>
        <w:rPr>
          <w:b/>
          <w:sz w:val="24"/>
          <w:szCs w:val="24"/>
          <w:rFonts w:ascii="Gotham Bold" w:hAnsi="Gotham Bold"/>
        </w:rPr>
        <w:t xml:space="preserve">FreeSpace FS2C </w:t>
      </w:r>
      <w:r>
        <w:rPr>
          <w:b/>
          <w:sz w:val="24"/>
          <w:szCs w:val="24"/>
          <w:color w:val="000000" w:themeColor="text1"/>
          <w:rFonts w:ascii="Gotham Bold" w:hAnsi="Gotham Bold"/>
        </w:rPr>
        <w:t xml:space="preserve">Deckeneinbau</w:t>
      </w:r>
      <w:r>
        <w:rPr>
          <w:b/>
          <w:sz w:val="24"/>
          <w:szCs w:val="24"/>
          <w:rFonts w:ascii="Gotham Bold" w:hAnsi="Gotham Bold"/>
        </w:rPr>
        <w:t xml:space="preserve">-Lautsprecher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201C57CA" w14:textId="45F040D0" w:rsidR="003909F7" w:rsidRPr="0010074F" w:rsidRDefault="00505A90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JULI 2020</w:t>
      </w:r>
    </w:p>
    <w:p w14:paraId="7A6095CE" w14:textId="2CF33A63" w:rsidR="000C1828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Fullrange-Lautsprecher ist mit einem 2,25-Zoll-Fullrange-Treiber ausgestattet.</w:t>
      </w:r>
      <w:r>
        <w:rPr>
          <w:sz w:val="24"/>
          <w:szCs w:val="24"/>
          <w:rFonts w:ascii="Gotham Book" w:hAnsi="Gotham Book"/>
        </w:rPr>
        <w:t xml:space="preserve"> </w:t>
      </w:r>
    </w:p>
    <w:p w14:paraId="665FED3B" w14:textId="7F57B47F" w:rsidR="000C1828" w:rsidRPr="00DE4CE5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Fullrange-Lautsprecher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83 Hz bis 19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86 dB SPL in einer Halbraumumgebung unter Verwendung des empfohlenen Schutz-Hochpassfilters bei 1 W Eingangsleistung in 1 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20 W (AES-Testmethode unter IEC-Systemrauschen, Laufzeit 2 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99 dB SPL und der Maximalpegel bei 105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150°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1A8068E7" w14:textId="71DAEF05" w:rsidR="00310700" w:rsidRDefault="000C1828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vordere Schallwand aus Kunststoff und ist in ein nahtloses Gehäuse aus Metall gefasst.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geschlossenes Gehäuse für den Einbau in abgehängte Decken und erfüllt die folgenden Sicherheitsstandards: UL1480 für Branderkennungs- und Brandmeldesysteme,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Standard-Haltearmen ausgestattet.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vorderen Schallwand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16 Ohm und wird mit einem entsprechenden Übertrager mit einem für Leistungsabgriffe von 1, 2, 4, 8 und 16 Watt sowie für den Bypass-Betrieb (16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der Rückwand des Lautsprechers mit Abdeckung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127 x 125 mm und das Nettogewicht liegt bei 1,63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äußeren Abmessungen der vorderen Schallwand betragen 182 mm.</w:t>
      </w:r>
    </w:p>
    <w:p w14:paraId="4B45333E" w14:textId="2595A381" w:rsidR="000C1828" w:rsidRPr="006E0E3C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FreeSpace FS2C Deckeneinbau-Lautsprecher sein.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1D30" w14:textId="77777777" w:rsidR="00691CC8" w:rsidRDefault="00691CC8" w:rsidP="008137ED">
      <w:pPr>
        <w:spacing w:after="0" w:line="240" w:lineRule="auto"/>
      </w:pPr>
      <w:r>
        <w:separator/>
      </w:r>
    </w:p>
  </w:endnote>
  <w:endnote w:type="continuationSeparator" w:id="0">
    <w:p w14:paraId="3E3A1A5F" w14:textId="77777777" w:rsidR="00691CC8" w:rsidRDefault="00691CC8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3A26" w14:textId="77777777" w:rsidR="00691CC8" w:rsidRDefault="00691CC8" w:rsidP="008137ED">
      <w:pPr>
        <w:spacing w:after="0" w:line="240" w:lineRule="auto"/>
      </w:pPr>
      <w:r>
        <w:separator/>
      </w:r>
    </w:p>
  </w:footnote>
  <w:footnote w:type="continuationSeparator" w:id="0">
    <w:p w14:paraId="078BBE2C" w14:textId="77777777" w:rsidR="00691CC8" w:rsidRDefault="00691CC8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B3425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7125"/>
    <w:rsid w:val="00C51FFF"/>
    <w:rsid w:val="00CB6B48"/>
    <w:rsid w:val="00CC0FAC"/>
    <w:rsid w:val="00CC4EAA"/>
    <w:rsid w:val="00CE011C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2021-06-04T19:45:00Z</dcterms:created>
  <dcterms:modified xsi:type="dcterms:W3CDTF">2021-06-04T19:45:00Z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