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057FA5FB" w:rsidR="000C1828" w:rsidRPr="00540946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Altavoz colgante FreeSpace FS2P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ESPECIFICACIONES PARA ARQUITECTOS E INGENIEROS</w:t>
      </w:r>
    </w:p>
    <w:p w14:paraId="201C57CA" w14:textId="2F2DCFFD" w:rsidR="003909F7" w:rsidRPr="0010074F" w:rsidRDefault="00997C9D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JULIO DE 2020</w:t>
      </w:r>
    </w:p>
    <w:p w14:paraId="7A6095CE" w14:textId="0B90EE96" w:rsidR="000C1828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El altavoz de rango completo debe contener un solo transductor de rango completo de 2.25 pulgadas.</w:t>
      </w:r>
      <w:r>
        <w:rPr>
          <w:sz w:val="24"/>
          <w:szCs w:val="24"/>
          <w:rFonts w:ascii="Gotham Book" w:hAnsi="Gotham Book"/>
        </w:rPr>
        <w:t xml:space="preserve"> </w:t>
      </w:r>
    </w:p>
    <w:p w14:paraId="665FED3B" w14:textId="5BEE064A" w:rsidR="000C1828" w:rsidRPr="00DE4CE5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 rango completo debe cumplir con las siguientes especificaciones de rendimiento: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rango de frecuencia del sistema en el eje debe ser de 83 Hz a 19 kHz (-10 dB) con el uso de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sensibilidad del altavoz debe ser de 87 dB SPL en un entorno de medio espacio con protección de paso alto recomendada y entrada de 1 W a 1 metro.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clasificación de manejo de potencia a largo plazo debe ser de 20 W (metodología de prueba AES que utiliza ruido del sistema IEC de 2 horas de duración).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salida continua máxima debe ser de 100 dB SPL y la salida pico máxima debe ser de 106 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patrón de cobertura nominal debe ser cónico de 140° de 1 a 4 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1A8068E7" w14:textId="60238066" w:rsidR="00310700" w:rsidRDefault="007B442D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se construirá con plástico de ingeniería con una carcasa resistente a decoloración por rayos UV.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consistirá en materiales de plástico PC-PBT que son resistentes a la exposición al aceite de cocina.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los siguientes estándares de seguridad: UL1480 para sistemas de señalización y alarma de incendio.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acero perforada con un acabado con recubrimiento de pintura en polvo.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puntos de fijación e incluir un cable de suspensión ajustable.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El altavoz debe estar disponible en blanco o negro.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Euroblock de 6 pines con bucle pasante, montado en la parte superior, con una cubierta de entrada.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16 Ω y conectarse en paralelo con un transformador (rebajador) de voltaje de línea coincidente con un selector de nivel apropiado para regular varias salidas de 1, 2, 4, 8, 16 W y bypass (16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del altavoz deben ser de </w:t>
      </w:r>
      <w:r>
        <w:rPr>
          <w:sz w:val="24"/>
          <w:szCs w:val="24"/>
          <w:rFonts w:ascii="Gotham Book" w:hAnsi="Gotham Book"/>
        </w:rPr>
        <w:t xml:space="preserve">149 x 183 mm (5.9 x 7.2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1.47 </w:t>
      </w:r>
      <w:r>
        <w:rPr>
          <w:sz w:val="24"/>
          <w:szCs w:val="24"/>
          <w:rFonts w:ascii="Gotham Book" w:hAnsi="Gotham Book"/>
        </w:rPr>
        <w:t xml:space="preserve">kg (3.25 lb)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</w:p>
    <w:p w14:paraId="4B45333E" w14:textId="0BDCC224" w:rsidR="000C1828" w:rsidRPr="006E0E3C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La garantía debe ser válida por 5 años.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ser el altavoz colgante FreeSpace FS2P.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FE10" w14:textId="77777777" w:rsidR="000A53E1" w:rsidRDefault="000A53E1" w:rsidP="008137ED">
      <w:pPr>
        <w:spacing w:after="0" w:line="240" w:lineRule="auto"/>
      </w:pPr>
      <w:r>
        <w:separator/>
      </w:r>
    </w:p>
  </w:endnote>
  <w:endnote w:type="continuationSeparator" w:id="0">
    <w:p w14:paraId="2A44081F" w14:textId="77777777" w:rsidR="000A53E1" w:rsidRDefault="000A53E1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25E6" w14:textId="77777777" w:rsidR="000A53E1" w:rsidRDefault="000A53E1" w:rsidP="008137ED">
      <w:pPr>
        <w:spacing w:after="0" w:line="240" w:lineRule="auto"/>
      </w:pPr>
      <w:r>
        <w:separator/>
      </w:r>
    </w:p>
  </w:footnote>
  <w:footnote w:type="continuationSeparator" w:id="0">
    <w:p w14:paraId="1F3BE25B" w14:textId="77777777" w:rsidR="000A53E1" w:rsidRDefault="000A53E1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874AF"/>
    <w:rsid w:val="008A3BB8"/>
    <w:rsid w:val="008C17CD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2021-06-04T19:52:00Z</dcterms:created>
  <dcterms:modified xsi:type="dcterms:W3CDTF">2021-06-04T19:52:00Z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