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93FD" w14:textId="427CE4CB" w:rsidR="0001221F" w:rsidRPr="003026CF" w:rsidRDefault="00F46C11" w:rsidP="00F46C11">
      <w:pPr>
        <w:rPr>
          <w:sz w:val="20"/>
          <w:szCs w:val="20"/>
          <w:rFonts w:ascii="Gotham Book" w:hAnsi="Gotham Book" w:cs="Arial"/>
        </w:rPr>
      </w:pPr>
      <w:r>
        <w:rPr>
          <w:sz w:val="20"/>
          <w:szCs w:val="20"/>
          <w:b/>
          <w:bCs/>
          <w:rFonts w:ascii="Gotham Bold" w:hAnsi="Gotham Bold"/>
        </w:rPr>
        <w:t xml:space="preserve">Bose Videobar VB-S :</w:t>
      </w:r>
      <w:r>
        <w:rPr>
          <w:sz w:val="20"/>
          <w:szCs w:val="20"/>
          <w:b/>
          <w:bCs/>
          <w:rFonts w:ascii="Gotham Bold" w:hAnsi="Gotham Bold"/>
        </w:rPr>
        <w:t xml:space="preserve"> </w:t>
      </w:r>
      <w:r>
        <w:rPr>
          <w:sz w:val="20"/>
          <w:szCs w:val="20"/>
          <w:b/>
          <w:bCs/>
          <w:rFonts w:ascii="Gotham Bold" w:hAnsi="Gotham Bold"/>
        </w:rPr>
        <w:t xml:space="preserve">périphérique de conférence USB tout-en-un</w:t>
      </w:r>
      <w:r>
        <w:rPr>
          <w:sz w:val="20"/>
          <w:szCs w:val="20"/>
          <w:b/>
          <w:bCs/>
          <w:rFonts w:ascii="Gotham Bold" w:hAnsi="Gotham Bold"/>
        </w:rPr>
        <w:br/>
      </w:r>
      <w:r>
        <w:rPr>
          <w:sz w:val="20"/>
          <w:szCs w:val="20"/>
          <w:rFonts w:ascii="Gotham Book" w:hAnsi="Gotham Book"/>
        </w:rPr>
        <w:t xml:space="preserve">SPÉCIFICATIONS TECHNIQUES À L’ATTENTION DES ARCHITECTES ET DES INGÉNIEURS</w:t>
      </w:r>
    </w:p>
    <w:p w14:paraId="19B22C31" w14:textId="7CB1094A" w:rsidR="0001221F" w:rsidRPr="003026CF" w:rsidRDefault="0001221F" w:rsidP="00F46C11">
      <w:pPr>
        <w:rPr>
          <w:b/>
          <w:bCs/>
          <w:sz w:val="20"/>
          <w:szCs w:val="20"/>
          <w:rFonts w:ascii="Gotham Bold" w:hAnsi="Gotham Bold" w:cs="Arial"/>
        </w:rPr>
      </w:pPr>
      <w:r>
        <w:rPr>
          <w:sz w:val="20"/>
          <w:szCs w:val="20"/>
          <w:rFonts w:ascii="Gotham Book" w:hAnsi="Gotham Book"/>
        </w:rPr>
        <w:t xml:space="preserve">---</w:t>
      </w:r>
    </w:p>
    <w:p w14:paraId="16B0AA09" w14:textId="2AAF43A6" w:rsidR="007251ED" w:rsidRPr="003026CF" w:rsidRDefault="00535AEB"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est conçu pour les petits espaces Bring Your Own Meeting (BYOM) : cabines de réunion, espaces de visioconférence et salles jusqu’à 3 × 3 mètres.</w:t>
      </w:r>
      <w:r>
        <w:rPr>
          <w:sz w:val="20"/>
          <w:szCs w:val="20"/>
          <w:rFonts w:ascii="Gotham Book" w:hAnsi="Gotham Book"/>
        </w:rPr>
        <w:t xml:space="preserve"> </w:t>
      </w:r>
      <w:r>
        <w:rPr>
          <w:sz w:val="20"/>
          <w:szCs w:val="20"/>
          <w:rFonts w:ascii="Gotham Book" w:hAnsi="Gotham Book"/>
        </w:rPr>
        <w:t xml:space="preserve">Le périphérique de conférence USB est constitué d’une caméra Ultra-HD 4K, d’un système de microphones à lobes de directivité orientables, d’une enceinte amplifiée, d’un port USB « plug-and-play » et d’une connectivité Wi-Fi intégrée.</w:t>
      </w:r>
      <w:r>
        <w:rPr>
          <w:sz w:val="20"/>
          <w:szCs w:val="20"/>
          <w:rFonts w:ascii="Gotham Book" w:hAnsi="Gotham Book"/>
        </w:rPr>
        <w:t xml:space="preserve"> </w:t>
      </w:r>
      <w:r>
        <w:rPr>
          <w:sz w:val="20"/>
          <w:szCs w:val="20"/>
          <w:rFonts w:ascii="Gotham Book" w:hAnsi="Gotham Book"/>
        </w:rPr>
        <w:t xml:space="preserve">Il s’utilise comme périphérique USB intégrant microphone, haut-parleur et caméra pour compléter un appareil BYOM, un ordinateur hôte ou un kit pour salles de réunion intégré fonctionnant avec un service client de communication unifiée (UC) comme Microsoft Teams, Zoom et Google Meet.</w:t>
      </w:r>
    </w:p>
    <w:p w14:paraId="378C461B" w14:textId="77777777" w:rsidR="00F75B6A" w:rsidRPr="003026CF" w:rsidRDefault="00F75B6A" w:rsidP="00F75B6A">
      <w:pPr>
        <w:spacing w:after="0" w:line="240" w:lineRule="auto"/>
        <w:rPr>
          <w:rFonts w:ascii="Gotham Book" w:hAnsi="Gotham Book" w:cs="Arial"/>
          <w:sz w:val="20"/>
          <w:szCs w:val="20"/>
        </w:rPr>
      </w:pPr>
    </w:p>
    <w:p w14:paraId="46B0A49B" w14:textId="0EA5F7A9" w:rsidR="00007C03" w:rsidRPr="003026CF" w:rsidRDefault="001873A5" w:rsidP="00F75B6A">
      <w:pPr>
        <w:pStyle w:val="Pa5"/>
        <w:spacing w:line="240" w:lineRule="auto"/>
        <w:rPr>
          <w:sz w:val="20"/>
          <w:szCs w:val="20"/>
          <w:rFonts w:ascii="Gotham Book" w:hAnsi="Gotham Book" w:cs="Arial"/>
        </w:rPr>
      </w:pPr>
      <w:r>
        <w:rPr>
          <w:sz w:val="20"/>
          <w:szCs w:val="20"/>
          <w:rFonts w:ascii="Gotham Book" w:hAnsi="Gotham Book"/>
        </w:rPr>
        <w:t xml:space="preserve">La caméra ultra-HD prend en charge un champ de vision de 123 ° en diagonale × 115 ° à l’horizontale × 81 ° à la verticale, et propose un zoom numérique 5x, un cadrage automatique avec mode groupe ou individuel, et une fonction numérique de panoramique, d’inclinaison et de zoom (DPTZ) avec trois préréglages configurables.</w:t>
      </w:r>
      <w:r>
        <w:rPr>
          <w:sz w:val="20"/>
          <w:szCs w:val="20"/>
          <w:rFonts w:ascii="Gotham Book" w:hAnsi="Gotham Book"/>
        </w:rPr>
        <w:t xml:space="preserve"> </w:t>
      </w:r>
      <w:r>
        <w:rPr>
          <w:sz w:val="20"/>
          <w:szCs w:val="20"/>
          <w:rFonts w:ascii="Gotham Book" w:hAnsi="Gotham Book"/>
        </w:rPr>
        <w:t xml:space="preserve">Le traitement de la caméra intègre la balance des blancs automatique, la luminosité automatique et la réduction de bruit numérique.</w:t>
      </w:r>
      <w:r>
        <w:rPr>
          <w:sz w:val="20"/>
          <w:szCs w:val="20"/>
          <w:rFonts w:ascii="Gotham Book" w:hAnsi="Gotham Book"/>
        </w:rPr>
        <w:t xml:space="preserve"> </w:t>
      </w:r>
      <w:r>
        <w:rPr>
          <w:sz w:val="20"/>
          <w:szCs w:val="20"/>
          <w:rFonts w:ascii="Gotham Book" w:hAnsi="Gotham Book"/>
        </w:rPr>
        <w:t xml:space="preserve">La caméra prend en charge les résolutions suivantes : 2160p (4K), 1080p, 720p, 960 × 480, 848 × 480, 640 × 480, 640 × 360 et 432 × 240 avec encodage vidéo H.264 et M-JPEG.</w:t>
      </w:r>
      <w:r>
        <w:rPr>
          <w:sz w:val="20"/>
          <w:szCs w:val="20"/>
          <w:rFonts w:ascii="Gotham Book" w:hAnsi="Gotham Book"/>
        </w:rPr>
        <w:t xml:space="preserve"> </w:t>
      </w:r>
      <w:r>
        <w:rPr>
          <w:sz w:val="20"/>
          <w:szCs w:val="20"/>
          <w:rFonts w:ascii="Gotham Book" w:hAnsi="Gotham Book"/>
        </w:rPr>
        <w:t xml:space="preserve">Elle est équipée d’un cache intégré masquant l’objectif, qui peut être fermé ou ouvert grâce à un dispositif mécanique coulissant sous le périphérique.</w:t>
      </w:r>
    </w:p>
    <w:p w14:paraId="5B5952C2" w14:textId="77777777" w:rsidR="00DE03B0" w:rsidRPr="003026CF" w:rsidRDefault="00DE03B0" w:rsidP="00F75B6A">
      <w:pPr>
        <w:spacing w:after="0" w:line="240" w:lineRule="auto"/>
        <w:rPr>
          <w:rFonts w:ascii="Gotham Book" w:eastAsia="Times New Roman" w:hAnsi="Gotham Book" w:cs="Arial"/>
          <w:sz w:val="20"/>
          <w:szCs w:val="20"/>
        </w:rPr>
      </w:pPr>
    </w:p>
    <w:p w14:paraId="2E85432F" w14:textId="2BDF8796" w:rsidR="000E3421" w:rsidRPr="003026CF" w:rsidRDefault="000E3421"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système de microphones à lobes de directivité orientables est composé de quatre éléments individuels qui forment numériquement quatre lobes distincts, assurant une portée de captation de 4 mètres.</w:t>
      </w:r>
      <w:r>
        <w:rPr>
          <w:sz w:val="20"/>
          <w:szCs w:val="20"/>
          <w:rFonts w:ascii="Gotham Book" w:hAnsi="Gotham Book"/>
        </w:rPr>
        <w:t xml:space="preserve"> </w:t>
      </w:r>
      <w:r>
        <w:rPr>
          <w:sz w:val="20"/>
          <w:szCs w:val="20"/>
          <w:rFonts w:ascii="Gotham Book" w:hAnsi="Gotham Book"/>
        </w:rPr>
        <w:t xml:space="preserve">La plage de fréquences de ce système est comprise entre 20 Hz et 15 kHz (-3 dB SPL).</w:t>
      </w:r>
      <w:r>
        <w:rPr>
          <w:sz w:val="20"/>
          <w:szCs w:val="20"/>
          <w:rFonts w:ascii="Gotham Book" w:hAnsi="Gotham Book"/>
        </w:rPr>
        <w:t xml:space="preserve"> </w:t>
      </w:r>
      <w:r>
        <w:rPr>
          <w:sz w:val="20"/>
          <w:szCs w:val="20"/>
          <w:rFonts w:ascii="Gotham Book" w:hAnsi="Gotham Book"/>
        </w:rPr>
        <w:t xml:space="preserve">Le système de microphones assure une formation de faisceau dynamique statique et adaptative, avec trois zones d’exclusion, l’annulation d’écho acoustique (AEC) ainsi une suppression numérique du bruit ambiant, se concentrant automatiquement sur les voix en excluant les bruits de fond indésirables.</w:t>
      </w:r>
    </w:p>
    <w:p w14:paraId="1CF51F5F" w14:textId="77777777" w:rsidR="00F75B6A" w:rsidRPr="003026CF" w:rsidRDefault="00F75B6A" w:rsidP="00F75B6A">
      <w:pPr>
        <w:spacing w:after="0" w:line="240" w:lineRule="auto"/>
        <w:rPr>
          <w:rFonts w:ascii="Gotham Book" w:eastAsia="Times New Roman" w:hAnsi="Gotham Book" w:cs="Arial"/>
          <w:sz w:val="20"/>
          <w:szCs w:val="20"/>
        </w:rPr>
      </w:pPr>
    </w:p>
    <w:p w14:paraId="7CEEB312" w14:textId="44BCB950" w:rsidR="000E3421" w:rsidRPr="003026CF" w:rsidRDefault="000E3421"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L’enceinte intégrée possède son propre amplificateur et son propre traitement sonore.</w:t>
      </w:r>
      <w:r>
        <w:rPr>
          <w:sz w:val="20"/>
          <w:szCs w:val="20"/>
          <w:rFonts w:ascii="Gotham Book" w:hAnsi="Gotham Book"/>
        </w:rPr>
        <w:t xml:space="preserve"> </w:t>
      </w:r>
      <w:r>
        <w:rPr>
          <w:sz w:val="20"/>
          <w:szCs w:val="20"/>
          <w:rFonts w:ascii="Gotham Book" w:hAnsi="Gotham Book"/>
        </w:rPr>
        <w:t xml:space="preserve">Elle utilise un transducteur assurant une réponse en fréquences comprise entre 90 Hz et 20 kHz (-10 dB).</w:t>
      </w:r>
      <w:r>
        <w:rPr>
          <w:sz w:val="20"/>
          <w:szCs w:val="20"/>
          <w:rFonts w:ascii="Gotham Book" w:hAnsi="Gotham Book"/>
        </w:rPr>
        <w:t xml:space="preserve"> </w:t>
      </w:r>
      <w:r>
        <w:rPr>
          <w:sz w:val="20"/>
          <w:szCs w:val="20"/>
          <w:rFonts w:ascii="Gotham Book" w:hAnsi="Gotham Book"/>
        </w:rPr>
        <w:t xml:space="preserve">L’amplificateur possède un seul canal de sortie de 15 W alimentant le transducteur de l’enceinte.</w:t>
      </w:r>
    </w:p>
    <w:p w14:paraId="24B94EB3" w14:textId="77777777" w:rsidR="00D9308C" w:rsidRPr="003026CF" w:rsidRDefault="00D9308C" w:rsidP="00F75B6A">
      <w:pPr>
        <w:spacing w:after="0" w:line="240" w:lineRule="auto"/>
        <w:rPr>
          <w:rFonts w:ascii="Gotham Book" w:eastAsia="Times New Roman" w:hAnsi="Gotham Book" w:cs="Arial"/>
          <w:sz w:val="20"/>
          <w:szCs w:val="20"/>
        </w:rPr>
      </w:pPr>
    </w:p>
    <w:p w14:paraId="1E08E9C2" w14:textId="3833FA35" w:rsidR="00FE1B33" w:rsidRPr="003026CF" w:rsidRDefault="00FA2255"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est doté d’un port USB-C assurant la liaison pour la caméra, le microphone et le signal audio distant avec un ordinateur hôte via le câble USB-C vers USB-A inclus. Il est compatible avec les catégories d’appareils USB 2.0, USB 3.0 UAC, UVC et HID.</w:t>
      </w:r>
      <w:r>
        <w:rPr>
          <w:sz w:val="20"/>
          <w:szCs w:val="20"/>
          <w:rFonts w:ascii="Gotham Book" w:hAnsi="Gotham Book"/>
        </w:rPr>
        <w:t xml:space="preserve"> </w:t>
      </w:r>
      <w:r>
        <w:rPr>
          <w:sz w:val="20"/>
          <w:szCs w:val="20"/>
          <w:rFonts w:ascii="Gotham Book" w:hAnsi="Gotham Book"/>
        </w:rPr>
        <w:t xml:space="preserve">Le périphérique est doté d’une connectivité </w:t>
      </w:r>
      <w:r>
        <w:rPr>
          <w:sz w:val="20"/>
          <w:szCs w:val="20"/>
          <w:i/>
          <w:iCs/>
          <w:rFonts w:ascii="Gotham Book" w:hAnsi="Gotham Book"/>
        </w:rPr>
        <w:t xml:space="preserve">Bluetooth</w:t>
      </w:r>
      <w:r>
        <w:rPr>
          <w:sz w:val="20"/>
          <w:szCs w:val="20"/>
          <w:rFonts w:ascii="Gotham Book" w:hAnsi="Gotham Book"/>
        </w:rPr>
        <w:t xml:space="preserve"> afin de prendre en charge la lecture audio ainsi que la télécommande avec les profils 4.2 HSP, A2DP et AVRCP, et l’assistance BLE.</w:t>
      </w:r>
      <w:r>
        <w:rPr>
          <w:sz w:val="20"/>
          <w:szCs w:val="20"/>
          <w:rFonts w:ascii="Gotham Book" w:hAnsi="Gotham Book"/>
        </w:rPr>
        <w:t xml:space="preserve"> </w:t>
      </w:r>
      <w:r>
        <w:rPr>
          <w:sz w:val="20"/>
          <w:szCs w:val="20"/>
          <w:rFonts w:ascii="Gotham Book" w:hAnsi="Gotham Book"/>
        </w:rPr>
        <w:t xml:space="preserve">Il intègre sa propre alimentation secteur.</w:t>
      </w:r>
    </w:p>
    <w:p w14:paraId="5515A725" w14:textId="77777777" w:rsidR="00F75B6A" w:rsidRPr="003026CF" w:rsidRDefault="00F75B6A" w:rsidP="00F75B6A">
      <w:pPr>
        <w:spacing w:after="0" w:line="240" w:lineRule="auto"/>
        <w:rPr>
          <w:rFonts w:ascii="Gotham Book" w:eastAsia="Times New Roman" w:hAnsi="Gotham Book" w:cs="Arial"/>
          <w:sz w:val="20"/>
          <w:szCs w:val="20"/>
        </w:rPr>
      </w:pPr>
    </w:p>
    <w:p w14:paraId="2F5849FA" w14:textId="24757074" w:rsidR="009A2138" w:rsidRDefault="002951A8" w:rsidP="00250C35">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est compatible réseau grâce à une carte réseau Wi-Fi 802.11ac intégrée.</w:t>
      </w:r>
      <w:r>
        <w:rPr>
          <w:sz w:val="20"/>
          <w:szCs w:val="20"/>
          <w:rFonts w:ascii="Gotham Book" w:hAnsi="Gotham Book"/>
        </w:rPr>
        <w:t xml:space="preserve"> </w:t>
      </w:r>
      <w:r>
        <w:rPr>
          <w:sz w:val="20"/>
          <w:szCs w:val="20"/>
          <w:rFonts w:ascii="Gotham Book" w:hAnsi="Gotham Book"/>
        </w:rPr>
        <w:t xml:space="preserve">Il prend en charge la connexion à une infrastructure réseau existante, pour une installation et un dépannage plus rapide et offre la possibilité d’effectuer les mises à jour et d’assurer la gestion et le suivi à distance.</w:t>
      </w:r>
      <w:r>
        <w:rPr>
          <w:sz w:val="20"/>
          <w:szCs w:val="20"/>
          <w:rFonts w:ascii="Gotham Book" w:hAnsi="Gotham Book"/>
        </w:rPr>
        <w:t xml:space="preserve"> </w:t>
      </w:r>
      <w:r>
        <w:rPr>
          <w:sz w:val="20"/>
          <w:szCs w:val="20"/>
          <w:rFonts w:ascii="Gotham Book" w:hAnsi="Gotham Book"/>
        </w:rPr>
        <w:t xml:space="preserve">Il se configure facilement grâce à un logiciel de configuration fourni qui fonctionne sous Windows, macOS ou via un navigateur Web.</w:t>
      </w:r>
      <w:r>
        <w:rPr>
          <w:sz w:val="20"/>
          <w:szCs w:val="20"/>
          <w:rFonts w:ascii="Gotham Book" w:hAnsi="Gotham Book"/>
        </w:rPr>
        <w:t xml:space="preserve"> </w:t>
      </w:r>
      <w:r>
        <w:rPr>
          <w:sz w:val="20"/>
          <w:szCs w:val="20"/>
          <w:rFonts w:ascii="Gotham Book" w:hAnsi="Gotham Book"/>
        </w:rPr>
        <w:t xml:space="preserve">Le périphérique intègre des fonctions de gestion à distance avec visualisation du statut en temps réel, et un logiciel de gestion compatible avec les API SNMP, REST ou WebSocket permet d’effectuer facilement des modifications, appareil par appareil ou au niveau du système global.</w:t>
      </w:r>
    </w:p>
    <w:p w14:paraId="09FBDC9D" w14:textId="1E4B3A38" w:rsidR="009A2138" w:rsidRDefault="009A2138" w:rsidP="00F75B6A">
      <w:pPr>
        <w:spacing w:after="0" w:line="240" w:lineRule="auto"/>
        <w:rPr>
          <w:rFonts w:ascii="Gotham Book" w:eastAsia="Times New Roman" w:hAnsi="Gotham Book" w:cs="Arial"/>
          <w:sz w:val="20"/>
          <w:szCs w:val="20"/>
        </w:rPr>
      </w:pPr>
    </w:p>
    <w:p w14:paraId="434F5FB6" w14:textId="1CF1076C" w:rsidR="00547198" w:rsidRPr="003026CF" w:rsidRDefault="00FB05ED" w:rsidP="00F75B6A">
      <w:pPr>
        <w:spacing w:after="0" w:line="240" w:lineRule="auto"/>
        <w:rPr>
          <w:sz w:val="20"/>
          <w:szCs w:val="20"/>
          <w:rFonts w:ascii="Gotham Book" w:eastAsia="Times New Roman" w:hAnsi="Gotham Book" w:cs="Arial"/>
        </w:rPr>
      </w:pPr>
      <w:r>
        <w:rPr>
          <w:sz w:val="20"/>
          <w:szCs w:val="20"/>
          <w:rFonts w:ascii="Gotham Book" w:hAnsi="Gotham Book"/>
        </w:rPr>
        <w:t xml:space="preserve">L’utilisateur final peut contrôler le périphérique de conférence USB via une télécommande infrarouge ou une application mobile gratuite disponible sur Google Play ou l’App Store</w:t>
      </w:r>
      <w:r>
        <w:rPr>
          <w:sz w:val="20"/>
          <w:szCs w:val="20"/>
          <w:vertAlign w:val="superscript"/>
          <w:rFonts w:ascii="Gotham Book" w:hAnsi="Gotham Book"/>
        </w:rPr>
        <w:t xml:space="preserve">SM</w:t>
      </w:r>
      <w:r>
        <w:rPr>
          <w:sz w:val="20"/>
          <w:szCs w:val="20"/>
          <w:rFonts w:ascii="Gotham Book" w:hAnsi="Gotham Book"/>
        </w:rPr>
        <w:t xml:space="preserve">.</w:t>
      </w:r>
      <w:r>
        <w:rPr>
          <w:sz w:val="20"/>
          <w:szCs w:val="20"/>
          <w:rFonts w:ascii="Gotham Book" w:hAnsi="Gotham Book"/>
        </w:rPr>
        <w:t xml:space="preserve"> </w:t>
      </w:r>
      <w:r>
        <w:rPr>
          <w:sz w:val="20"/>
          <w:szCs w:val="20"/>
          <w:rFonts w:ascii="Gotham Book" w:hAnsi="Gotham Book"/>
        </w:rPr>
        <w:t xml:space="preserve">L’utilisateur final peut contrôler la position, le facteur de zoom et les préréglages de la caméra, ainsi qu’activer et désactiver le cadrage automatique.</w:t>
      </w:r>
      <w:r>
        <w:rPr>
          <w:sz w:val="20"/>
          <w:szCs w:val="20"/>
          <w:rFonts w:ascii="Gotham Book" w:hAnsi="Gotham Book"/>
        </w:rPr>
        <w:t xml:space="preserve"> </w:t>
      </w:r>
      <w:r>
        <w:rPr>
          <w:sz w:val="20"/>
          <w:szCs w:val="20"/>
          <w:rFonts w:ascii="Gotham Book" w:hAnsi="Gotham Book"/>
        </w:rPr>
        <w:t xml:space="preserve">L’utilisateur final peut ajuster le volume de l’enceinte, couper ou rétablir le son des microphones, et aussi connecter/déconnecter les appareils </w:t>
      </w:r>
      <w:r>
        <w:rPr>
          <w:sz w:val="20"/>
          <w:szCs w:val="20"/>
          <w:i/>
          <w:iCs/>
          <w:rFonts w:ascii="Gotham Book" w:hAnsi="Gotham Book"/>
        </w:rPr>
        <w:t xml:space="preserve">Bluetooth</w:t>
      </w:r>
      <w:r>
        <w:rPr>
          <w:sz w:val="20"/>
          <w:szCs w:val="20"/>
          <w:rFonts w:ascii="Gotham Book" w:hAnsi="Gotham Book"/>
        </w:rPr>
        <w:t xml:space="preserve">.</w:t>
      </w:r>
      <w:r>
        <w:rPr>
          <w:sz w:val="20"/>
          <w:szCs w:val="20"/>
          <w:rFonts w:ascii="Gotham Book" w:hAnsi="Gotham Book"/>
        </w:rPr>
        <w:t xml:space="preserve"> </w:t>
      </w:r>
      <w:r>
        <w:rPr>
          <w:sz w:val="20"/>
          <w:szCs w:val="20"/>
          <w:rFonts w:ascii="Gotham Book" w:hAnsi="Gotham Book"/>
        </w:rPr>
        <w:t xml:space="preserve">L’administrateur système peut remplacer le contrôle du périphérique de conférence USB par l’utilisateur final via un logiciel fourni qui permet d’activer, de désactiver ou de limiter le contrôle de la caméra, des enceintes ou des microphones par l’utilisateur final.</w:t>
      </w:r>
      <w:r>
        <w:rPr>
          <w:sz w:val="20"/>
          <w:szCs w:val="20"/>
          <w:rFonts w:ascii="Gotham Book" w:hAnsi="Gotham Book"/>
        </w:rPr>
        <w:t xml:space="preserve"> </w:t>
      </w:r>
    </w:p>
    <w:p w14:paraId="67483F6F" w14:textId="77777777" w:rsidR="001E5E2A" w:rsidRPr="003026CF" w:rsidRDefault="001E5E2A" w:rsidP="00F75B6A">
      <w:pPr>
        <w:spacing w:after="0" w:line="240" w:lineRule="auto"/>
        <w:rPr>
          <w:rFonts w:ascii="Gotham Book" w:eastAsia="Times New Roman" w:hAnsi="Gotham Book" w:cs="Arial"/>
          <w:sz w:val="20"/>
          <w:szCs w:val="20"/>
        </w:rPr>
      </w:pPr>
    </w:p>
    <w:p w14:paraId="5F589254" w14:textId="7D03E509" w:rsidR="0037735E" w:rsidRPr="003026CF" w:rsidRDefault="000D3C52"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fournit des indications visuelles sur l’alimentation secteur, le volume de l’enceinte, la coupure du son, l’appairage </w:t>
      </w:r>
      <w:r>
        <w:rPr>
          <w:sz w:val="20"/>
          <w:szCs w:val="20"/>
          <w:i/>
          <w:iCs/>
          <w:rFonts w:ascii="Gotham Book" w:hAnsi="Gotham Book"/>
        </w:rPr>
        <w:t xml:space="preserve">Bluetooth</w:t>
      </w:r>
      <w:r>
        <w:rPr>
          <w:sz w:val="20"/>
          <w:szCs w:val="20"/>
          <w:rFonts w:ascii="Gotham Book" w:hAnsi="Gotham Book"/>
        </w:rPr>
        <w:t xml:space="preserve">, les anomalies ou la connectivité au moyen d’une barre lumineuse.</w:t>
      </w:r>
      <w:r>
        <w:rPr>
          <w:sz w:val="20"/>
          <w:szCs w:val="20"/>
          <w:rFonts w:ascii="Gotham Book" w:hAnsi="Gotham Book"/>
        </w:rPr>
        <w:t xml:space="preserve"> </w:t>
      </w:r>
      <w:r>
        <w:rPr>
          <w:sz w:val="20"/>
          <w:szCs w:val="20"/>
          <w:rFonts w:ascii="Gotham Book" w:hAnsi="Gotham Book"/>
        </w:rPr>
        <w:t xml:space="preserve">Le statut de la caméra est indiqué grâce à une LED verte au-dessus de la caméra, restant visible lorsque le cache est fermé.</w:t>
      </w:r>
    </w:p>
    <w:p w14:paraId="47F71731" w14:textId="77777777" w:rsidR="001E5E2A" w:rsidRPr="003026CF" w:rsidRDefault="001E5E2A" w:rsidP="00F75B6A">
      <w:pPr>
        <w:spacing w:after="0" w:line="240" w:lineRule="auto"/>
        <w:rPr>
          <w:rFonts w:ascii="Gotham Book" w:eastAsia="Times New Roman" w:hAnsi="Gotham Book" w:cs="Arial"/>
          <w:sz w:val="20"/>
          <w:szCs w:val="20"/>
        </w:rPr>
      </w:pPr>
    </w:p>
    <w:p w14:paraId="78067B7B" w14:textId="0E142967" w:rsidR="00BB775A" w:rsidRPr="003026CF" w:rsidRDefault="00BB775A"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peut être installé sur une cloison sèche standard à l’aide d’un support fourni ou sur une table à l’aide d’un socle fourni.</w:t>
      </w:r>
      <w:r>
        <w:rPr>
          <w:sz w:val="20"/>
          <w:szCs w:val="20"/>
          <w:rFonts w:ascii="Gotham Book" w:hAnsi="Gotham Book"/>
        </w:rPr>
        <w:t xml:space="preserve"> </w:t>
      </w:r>
      <w:r>
        <w:rPr>
          <w:sz w:val="20"/>
          <w:szCs w:val="20"/>
          <w:rFonts w:ascii="Gotham Book" w:hAnsi="Gotham Book"/>
        </w:rPr>
        <w:t xml:space="preserve">Un kit de fixation d’écran en option est disponible pour fixer le périphérique sur ou sous l’écran vidéo.</w:t>
      </w:r>
      <w:r>
        <w:rPr>
          <w:sz w:val="20"/>
          <w:szCs w:val="20"/>
          <w:rFonts w:ascii="Gotham Book" w:hAnsi="Gotham Book"/>
        </w:rPr>
        <w:t xml:space="preserve"> </w:t>
      </w:r>
      <w:r>
        <w:rPr>
          <w:sz w:val="20"/>
          <w:szCs w:val="20"/>
          <w:rFonts w:ascii="Gotham Book" w:hAnsi="Gotham Book"/>
        </w:rPr>
        <w:t xml:space="preserve">Un cadre de montage en option est disponible pour fixer le périphérique sur le mur en faisant passer ses câbles dans un coffret de branchement double.</w:t>
      </w:r>
    </w:p>
    <w:p w14:paraId="079A974C" w14:textId="77777777" w:rsidR="001E5E2A" w:rsidRPr="003026CF" w:rsidRDefault="001E5E2A" w:rsidP="00F75B6A">
      <w:pPr>
        <w:spacing w:after="0" w:line="240" w:lineRule="auto"/>
        <w:rPr>
          <w:rFonts w:ascii="Gotham Book" w:eastAsia="Times New Roman" w:hAnsi="Gotham Book" w:cs="Arial"/>
          <w:sz w:val="20"/>
          <w:szCs w:val="20"/>
        </w:rPr>
      </w:pPr>
    </w:p>
    <w:p w14:paraId="28C81058" w14:textId="36851E13" w:rsidR="007251ED" w:rsidRPr="00D525BB" w:rsidRDefault="000B582E" w:rsidP="00F75B6A">
      <w:pPr>
        <w:spacing w:after="0" w:line="240" w:lineRule="auto"/>
        <w:rPr>
          <w:sz w:val="20"/>
          <w:szCs w:val="20"/>
          <w:rFonts w:ascii="Gotham Book" w:eastAsia="Times New Roman" w:hAnsi="Gotham Book" w:cs="Arial"/>
        </w:rPr>
      </w:pPr>
      <w:r>
        <w:rPr>
          <w:sz w:val="20"/>
          <w:szCs w:val="20"/>
          <w:rFonts w:ascii="Gotham Book" w:hAnsi="Gotham Book"/>
        </w:rPr>
        <w:t xml:space="preserve">Le périphérique de conférence USB porte le nom de Bose Videobar VB-S.</w:t>
      </w:r>
    </w:p>
    <w:p w14:paraId="413ACC2A" w14:textId="4FE2EA21" w:rsidR="00E2513F" w:rsidRPr="0001221F" w:rsidRDefault="00FA2255" w:rsidP="00F75B6A">
      <w:pPr>
        <w:spacing w:after="0" w:line="240" w:lineRule="auto"/>
        <w:rPr>
          <w:sz w:val="20"/>
          <w:szCs w:val="20"/>
          <w:rFonts w:ascii="Gotham Book" w:eastAsia="Times New Roman" w:hAnsi="Gotham Book" w:cs="Arial"/>
        </w:rPr>
      </w:pPr>
      <w:r>
        <w:rPr>
          <w:sz w:val="20"/>
          <w:szCs w:val="20"/>
          <w:rFonts w:ascii="Gotham Book" w:hAnsi="Gotham Book"/>
        </w:rPr>
        <w:t xml:space="preserve"> </w:t>
      </w:r>
    </w:p>
    <w:sectPr w:rsidR="00E2513F" w:rsidRPr="0001221F" w:rsidSect="008E67E9">
      <w:footerReference w:type="default" r:id="rId1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4DC3" w14:textId="77777777" w:rsidR="00BC5080" w:rsidRDefault="00BC5080" w:rsidP="00CD0BF5">
      <w:pPr>
        <w:spacing w:after="0" w:line="240" w:lineRule="auto"/>
      </w:pPr>
      <w:r>
        <w:separator/>
      </w:r>
    </w:p>
  </w:endnote>
  <w:endnote w:type="continuationSeparator" w:id="0">
    <w:p w14:paraId="0558666B" w14:textId="77777777" w:rsidR="00BC5080" w:rsidRDefault="00BC5080" w:rsidP="00CD0BF5">
      <w:pPr>
        <w:spacing w:after="0" w:line="240" w:lineRule="auto"/>
      </w:pPr>
      <w:r>
        <w:continuationSeparator/>
      </w:r>
    </w:p>
  </w:endnote>
  <w:endnote w:type="continuationNotice" w:id="1">
    <w:p w14:paraId="46459FBB" w14:textId="77777777" w:rsidR="00BC5080" w:rsidRDefault="00BC5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 Bold">
    <w:panose1 w:val="00000000000000000000"/>
    <w:charset w:val="00"/>
    <w:family w:val="auto"/>
    <w:notTrueType/>
    <w:pitch w:val="variable"/>
    <w:sig w:usb0="A00002FF" w:usb1="4000005B" w:usb2="00000000" w:usb3="00000000" w:csb0="0000009F" w:csb1="00000000"/>
  </w:font>
  <w:font w:name="Gotham Boo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A005" w14:textId="22DE9295" w:rsidR="008B2B0D" w:rsidRDefault="008B2B0D" w:rsidP="00D3077D">
    <w:pPr>
      <w:pStyle w:val="Footer"/>
      <w:pBdr>
        <w:top w:val="single" w:sz="4" w:space="1" w:color="auto"/>
      </w:pBdr>
      <w:jc w:val="right"/>
      <w:rPr>
        <w:b/>
        <w:bCs/>
        <w:rFonts w:ascii="Gotham Bold" w:hAnsi="Gotham Bold"/>
      </w:rPr>
    </w:pPr>
    <w:r>
      <w:rPr>
        <w:b/>
        <w:bCs/>
        <w:rFonts w:ascii="Gotham Bold" w:hAnsi="Gotham Bold"/>
      </w:rPr>
      <w:t xml:space="preserve">Bose Professional</w:t>
    </w:r>
    <w:r>
      <w:rPr>
        <w:b/>
        <w:bCs/>
        <w:rFonts w:ascii="Gotham Bold" w:hAnsi="Gotham Bold"/>
      </w:rPr>
      <w:tab/>
    </w:r>
    <w:r>
      <w:rPr>
        <w:b/>
        <w:bCs/>
        <w:rFonts w:ascii="Gotham Bold" w:hAnsi="Gotham Bold"/>
      </w:rPr>
      <w:tab/>
    </w:r>
    <w:r>
      <w:rPr>
        <w:b/>
        <w:bCs/>
        <w:rFonts w:ascii="Gotham Bold" w:hAnsi="Gotham Bold"/>
      </w:rPr>
      <w:t xml:space="preserve">Date :</w:t>
    </w:r>
    <w:r>
      <w:rPr>
        <w:b/>
        <w:bCs/>
        <w:rFonts w:ascii="Gotham Bold" w:hAnsi="Gotham Bold"/>
      </w:rPr>
      <w:t xml:space="preserve"> </w:t>
    </w:r>
    <w:r>
      <w:rPr>
        <w:b/>
        <w:bCs/>
        <w:rFonts w:ascii="Gotham Bold" w:hAnsi="Gotham Bold"/>
      </w:rPr>
      <w:t xml:space="preserve">8 juin 2022</w:t>
    </w:r>
  </w:p>
  <w:p w14:paraId="699BD43E" w14:textId="31FAF34D" w:rsidR="00323FBB" w:rsidRPr="00323FBB" w:rsidRDefault="00323FBB" w:rsidP="00D3077D">
    <w:pPr>
      <w:pStyle w:val="Footer"/>
      <w:pBdr>
        <w:top w:val="single" w:sz="4" w:space="1" w:color="auto"/>
      </w:pBdr>
      <w:jc w:val="right"/>
      <w:rPr>
        <w:b/>
        <w:bCs/>
        <w:rFonts w:ascii="Gotham Bold" w:hAnsi="Gotham Bold"/>
      </w:rPr>
    </w:pPr>
    <w:r>
      <w:rPr>
        <w:b/>
        <w:bCs/>
        <w:rFonts w:ascii="Gotham Bold" w:hAnsi="Gotham Bold"/>
      </w:rPr>
      <w:t xml:space="preserve">Page </w:t>
    </w:r>
    <w:r w:rsidRPr="00323FBB">
      <w:rPr>
        <w:b/>
        <w:bCs/>
        <w:rFonts w:ascii="Gotham Bold" w:hAnsi="Gotham Bold"/>
      </w:rPr>
      <w:fldChar w:fldCharType="begin"/>
    </w:r>
    <w:r w:rsidRPr="00323FBB">
      <w:rPr>
        <w:b/>
        <w:bCs/>
        <w:rFonts w:ascii="Gotham Bold" w:hAnsi="Gotham Bold"/>
      </w:rPr>
      <w:instrText xml:space="preserve"> PAGE </w:instrText>
    </w:r>
    <w:r w:rsidRPr="00323FBB">
      <w:rPr>
        <w:b/>
        <w:bCs/>
        <w:rFonts w:ascii="Gotham Bold" w:hAnsi="Gotham Bold"/>
      </w:rPr>
      <w:fldChar w:fldCharType="separate"/>
    </w:r>
    <w:r w:rsidRPr="00323FBB">
      <w:rPr>
        <w:b/>
        <w:bCs/>
        <w:rFonts w:ascii="Gotham Bold" w:hAnsi="Gotham Bold"/>
      </w:rPr>
      <w:t>1</w:t>
    </w:r>
    <w:r w:rsidRPr="00323FBB">
      <w:rPr>
        <w:b/>
        <w:bCs/>
        <w:rFonts w:ascii="Gotham Bold" w:hAnsi="Gotham Bold"/>
      </w:rPr>
      <w:fldChar w:fldCharType="end"/>
    </w:r>
    <w:r>
      <w:rPr>
        <w:b/>
        <w:bCs/>
        <w:rFonts w:ascii="Gotham Bold" w:hAnsi="Gotham Bold"/>
      </w:rPr>
      <w:t xml:space="preserve"> sur </w:t>
    </w:r>
    <w:r w:rsidRPr="00323FBB">
      <w:rPr>
        <w:b/>
        <w:bCs/>
        <w:rFonts w:ascii="Gotham Bold" w:hAnsi="Gotham Bold"/>
      </w:rPr>
      <w:fldChar w:fldCharType="begin" w:dirty="true"/>
    </w:r>
    <w:r w:rsidRPr="00323FBB">
      <w:rPr>
        <w:b/>
        <w:bCs/>
        <w:rFonts w:ascii="Gotham Bold" w:hAnsi="Gotham Bold"/>
      </w:rPr>
      <w:instrText xml:space="preserve"> NUMPAGES </w:instrText>
    </w:r>
    <w:r w:rsidRPr="00323FBB">
      <w:rPr>
        <w:b/>
        <w:bCs/>
        <w:rFonts w:ascii="Gotham Bold" w:hAnsi="Gotham Bold"/>
      </w:rPr>
      <w:fldChar w:fldCharType="separate"/>
    </w:r>
    <w:r w:rsidRPr="00323FBB">
      <w:rPr>
        <w:b/>
        <w:bCs/>
        <w:rFonts w:ascii="Gotham Bold" w:hAnsi="Gotham Bold"/>
      </w:rPr>
      <w:t>2</w:t>
    </w:r>
    <w:r w:rsidRPr="00323FBB">
      <w:rPr>
        <w:b/>
        <w:bCs/>
        <w:rFonts w:ascii="Gotham Bold" w:hAnsi="Gotham Bold"/>
      </w:rPr>
      <w:fldChar w:fldCharType="end"/>
    </w:r>
  </w:p>
  <w:p w14:paraId="26C1B852" w14:textId="2846E112" w:rsidR="008B2B0D" w:rsidRPr="008B2B0D" w:rsidRDefault="008B2B0D" w:rsidP="001818FF">
    <w:pPr>
      <w:pStyle w:val="Footer"/>
      <w:pBdr>
        <w:top w:val="single" w:sz="4" w:space="1" w:color="auto"/>
      </w:pBdr>
      <w:rPr>
        <w:b/>
        <w:bCs/>
        <w:rFonts w:ascii="Gotham Bold" w:hAnsi="Gotham Bold"/>
      </w:rPr>
    </w:pPr>
    <w:r>
      <w:rPr>
        <w:b/>
        <w:bCs/>
        <w:rFonts w:ascii="Gotham Bold" w:hAnsi="Gotham Bol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D47D" w14:textId="77777777" w:rsidR="00BC5080" w:rsidRDefault="00BC5080" w:rsidP="00CD0BF5">
      <w:pPr>
        <w:spacing w:after="0" w:line="240" w:lineRule="auto"/>
      </w:pPr>
      <w:r>
        <w:separator/>
      </w:r>
    </w:p>
  </w:footnote>
  <w:footnote w:type="continuationSeparator" w:id="0">
    <w:p w14:paraId="25E55A0F" w14:textId="77777777" w:rsidR="00BC5080" w:rsidRDefault="00BC5080" w:rsidP="00CD0BF5">
      <w:pPr>
        <w:spacing w:after="0" w:line="240" w:lineRule="auto"/>
      </w:pPr>
      <w:r>
        <w:continuationSeparator/>
      </w:r>
    </w:p>
  </w:footnote>
  <w:footnote w:type="continuationNotice" w:id="1">
    <w:p w14:paraId="67768B90" w14:textId="77777777" w:rsidR="00BC5080" w:rsidRDefault="00BC50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E32F8"/>
    <w:multiLevelType w:val="hybridMultilevel"/>
    <w:tmpl w:val="992EE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0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dirty" w:grammar="dirty"/>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C0"/>
    <w:rsid w:val="00006D2E"/>
    <w:rsid w:val="00007C03"/>
    <w:rsid w:val="000100CD"/>
    <w:rsid w:val="0001221F"/>
    <w:rsid w:val="00015101"/>
    <w:rsid w:val="00023966"/>
    <w:rsid w:val="00032093"/>
    <w:rsid w:val="00034BE8"/>
    <w:rsid w:val="00035085"/>
    <w:rsid w:val="00040951"/>
    <w:rsid w:val="000466E7"/>
    <w:rsid w:val="00054CBF"/>
    <w:rsid w:val="0006016A"/>
    <w:rsid w:val="00061C63"/>
    <w:rsid w:val="00067912"/>
    <w:rsid w:val="0007660F"/>
    <w:rsid w:val="00095D4F"/>
    <w:rsid w:val="000A26FA"/>
    <w:rsid w:val="000B3459"/>
    <w:rsid w:val="000B582E"/>
    <w:rsid w:val="000C5CD2"/>
    <w:rsid w:val="000D295B"/>
    <w:rsid w:val="000D3C52"/>
    <w:rsid w:val="000D6A3F"/>
    <w:rsid w:val="000E1810"/>
    <w:rsid w:val="000E3421"/>
    <w:rsid w:val="00107121"/>
    <w:rsid w:val="001143A5"/>
    <w:rsid w:val="001255A9"/>
    <w:rsid w:val="00132095"/>
    <w:rsid w:val="00156D73"/>
    <w:rsid w:val="00157360"/>
    <w:rsid w:val="00174248"/>
    <w:rsid w:val="001818FF"/>
    <w:rsid w:val="001873A5"/>
    <w:rsid w:val="001A0FD0"/>
    <w:rsid w:val="001A41EA"/>
    <w:rsid w:val="001A4549"/>
    <w:rsid w:val="001B2BAE"/>
    <w:rsid w:val="001B69DA"/>
    <w:rsid w:val="001B74DB"/>
    <w:rsid w:val="001C28D5"/>
    <w:rsid w:val="001C45ED"/>
    <w:rsid w:val="001D47DD"/>
    <w:rsid w:val="001D7620"/>
    <w:rsid w:val="001E0228"/>
    <w:rsid w:val="001E1697"/>
    <w:rsid w:val="001E5E2A"/>
    <w:rsid w:val="0021518E"/>
    <w:rsid w:val="002202C1"/>
    <w:rsid w:val="00230DDD"/>
    <w:rsid w:val="00232FC0"/>
    <w:rsid w:val="0024287F"/>
    <w:rsid w:val="0024770C"/>
    <w:rsid w:val="00250C35"/>
    <w:rsid w:val="00255991"/>
    <w:rsid w:val="00255BB8"/>
    <w:rsid w:val="00262D4C"/>
    <w:rsid w:val="0026331A"/>
    <w:rsid w:val="0028487A"/>
    <w:rsid w:val="00291DC1"/>
    <w:rsid w:val="002924BF"/>
    <w:rsid w:val="002951A8"/>
    <w:rsid w:val="002A37E2"/>
    <w:rsid w:val="002B61B2"/>
    <w:rsid w:val="002C3DFF"/>
    <w:rsid w:val="002D6706"/>
    <w:rsid w:val="002F3973"/>
    <w:rsid w:val="003026CF"/>
    <w:rsid w:val="00302714"/>
    <w:rsid w:val="0031145F"/>
    <w:rsid w:val="003237AD"/>
    <w:rsid w:val="00323FBB"/>
    <w:rsid w:val="00344BC4"/>
    <w:rsid w:val="00354E4E"/>
    <w:rsid w:val="003710B2"/>
    <w:rsid w:val="0037735E"/>
    <w:rsid w:val="00381681"/>
    <w:rsid w:val="00387B23"/>
    <w:rsid w:val="003A09A1"/>
    <w:rsid w:val="003A645C"/>
    <w:rsid w:val="003B00A5"/>
    <w:rsid w:val="003F3940"/>
    <w:rsid w:val="0042148A"/>
    <w:rsid w:val="00427A95"/>
    <w:rsid w:val="00433989"/>
    <w:rsid w:val="00434148"/>
    <w:rsid w:val="00445A15"/>
    <w:rsid w:val="0044653B"/>
    <w:rsid w:val="004728D2"/>
    <w:rsid w:val="00486E59"/>
    <w:rsid w:val="00494880"/>
    <w:rsid w:val="004A13F0"/>
    <w:rsid w:val="004A7C93"/>
    <w:rsid w:val="004B0A16"/>
    <w:rsid w:val="004B60AA"/>
    <w:rsid w:val="004C11F0"/>
    <w:rsid w:val="004D3C03"/>
    <w:rsid w:val="004E70B3"/>
    <w:rsid w:val="00515E11"/>
    <w:rsid w:val="00516EF3"/>
    <w:rsid w:val="00527963"/>
    <w:rsid w:val="005358B7"/>
    <w:rsid w:val="00535AEB"/>
    <w:rsid w:val="00546483"/>
    <w:rsid w:val="00547198"/>
    <w:rsid w:val="00566B29"/>
    <w:rsid w:val="0057430E"/>
    <w:rsid w:val="005827D7"/>
    <w:rsid w:val="00595B36"/>
    <w:rsid w:val="005A7D10"/>
    <w:rsid w:val="005B0C7A"/>
    <w:rsid w:val="005D265D"/>
    <w:rsid w:val="005F4CA7"/>
    <w:rsid w:val="00617BE8"/>
    <w:rsid w:val="00631759"/>
    <w:rsid w:val="00633E34"/>
    <w:rsid w:val="00641833"/>
    <w:rsid w:val="006445C2"/>
    <w:rsid w:val="00663B6E"/>
    <w:rsid w:val="00676A74"/>
    <w:rsid w:val="00690E7B"/>
    <w:rsid w:val="00693055"/>
    <w:rsid w:val="006A7C4D"/>
    <w:rsid w:val="006D079A"/>
    <w:rsid w:val="006D7B14"/>
    <w:rsid w:val="006E4ECE"/>
    <w:rsid w:val="0070621B"/>
    <w:rsid w:val="00706B92"/>
    <w:rsid w:val="00707FEA"/>
    <w:rsid w:val="00717838"/>
    <w:rsid w:val="00720903"/>
    <w:rsid w:val="007251ED"/>
    <w:rsid w:val="007343A5"/>
    <w:rsid w:val="00741A0C"/>
    <w:rsid w:val="00744A1D"/>
    <w:rsid w:val="00754681"/>
    <w:rsid w:val="00772135"/>
    <w:rsid w:val="00775DFB"/>
    <w:rsid w:val="00784346"/>
    <w:rsid w:val="007957C7"/>
    <w:rsid w:val="007A1EA6"/>
    <w:rsid w:val="007A2145"/>
    <w:rsid w:val="007B6F92"/>
    <w:rsid w:val="00811081"/>
    <w:rsid w:val="00811BD5"/>
    <w:rsid w:val="00840634"/>
    <w:rsid w:val="00851C30"/>
    <w:rsid w:val="00856CC0"/>
    <w:rsid w:val="00870A89"/>
    <w:rsid w:val="00876A14"/>
    <w:rsid w:val="00883EC5"/>
    <w:rsid w:val="00890C5F"/>
    <w:rsid w:val="00892540"/>
    <w:rsid w:val="008B2B0D"/>
    <w:rsid w:val="008B6AE1"/>
    <w:rsid w:val="008C126A"/>
    <w:rsid w:val="008C7540"/>
    <w:rsid w:val="008E67E9"/>
    <w:rsid w:val="00906EDE"/>
    <w:rsid w:val="00914936"/>
    <w:rsid w:val="00931D82"/>
    <w:rsid w:val="009429BD"/>
    <w:rsid w:val="00946233"/>
    <w:rsid w:val="00946ED6"/>
    <w:rsid w:val="009548E3"/>
    <w:rsid w:val="00955FAD"/>
    <w:rsid w:val="009627F1"/>
    <w:rsid w:val="00984B42"/>
    <w:rsid w:val="00996884"/>
    <w:rsid w:val="00996A0C"/>
    <w:rsid w:val="00997C0A"/>
    <w:rsid w:val="009A2138"/>
    <w:rsid w:val="009B15B8"/>
    <w:rsid w:val="009B6B45"/>
    <w:rsid w:val="009C3907"/>
    <w:rsid w:val="009C70DC"/>
    <w:rsid w:val="009E2525"/>
    <w:rsid w:val="00A03D2A"/>
    <w:rsid w:val="00A243D7"/>
    <w:rsid w:val="00A42976"/>
    <w:rsid w:val="00A53421"/>
    <w:rsid w:val="00A771CF"/>
    <w:rsid w:val="00A87C89"/>
    <w:rsid w:val="00A91EAA"/>
    <w:rsid w:val="00A93F46"/>
    <w:rsid w:val="00AA23EA"/>
    <w:rsid w:val="00AB5426"/>
    <w:rsid w:val="00AB7AFC"/>
    <w:rsid w:val="00AC6773"/>
    <w:rsid w:val="00AD2127"/>
    <w:rsid w:val="00AF24FD"/>
    <w:rsid w:val="00AF68A2"/>
    <w:rsid w:val="00B13679"/>
    <w:rsid w:val="00B14458"/>
    <w:rsid w:val="00B21C51"/>
    <w:rsid w:val="00B265E3"/>
    <w:rsid w:val="00B32B62"/>
    <w:rsid w:val="00B42BEE"/>
    <w:rsid w:val="00B4791D"/>
    <w:rsid w:val="00B74D28"/>
    <w:rsid w:val="00B9537A"/>
    <w:rsid w:val="00BA56A5"/>
    <w:rsid w:val="00BB0880"/>
    <w:rsid w:val="00BB1E9B"/>
    <w:rsid w:val="00BB775A"/>
    <w:rsid w:val="00BC5080"/>
    <w:rsid w:val="00BD2612"/>
    <w:rsid w:val="00BD5174"/>
    <w:rsid w:val="00C02A9E"/>
    <w:rsid w:val="00C063D7"/>
    <w:rsid w:val="00C1227C"/>
    <w:rsid w:val="00C13FFF"/>
    <w:rsid w:val="00C46F74"/>
    <w:rsid w:val="00C64061"/>
    <w:rsid w:val="00C641DD"/>
    <w:rsid w:val="00C6447A"/>
    <w:rsid w:val="00C77474"/>
    <w:rsid w:val="00C85ED8"/>
    <w:rsid w:val="00CA6E56"/>
    <w:rsid w:val="00CD0BF5"/>
    <w:rsid w:val="00CD79AE"/>
    <w:rsid w:val="00CF5E47"/>
    <w:rsid w:val="00D0254D"/>
    <w:rsid w:val="00D03415"/>
    <w:rsid w:val="00D06A07"/>
    <w:rsid w:val="00D1035B"/>
    <w:rsid w:val="00D17AEE"/>
    <w:rsid w:val="00D3077D"/>
    <w:rsid w:val="00D376D0"/>
    <w:rsid w:val="00D42F20"/>
    <w:rsid w:val="00D525BB"/>
    <w:rsid w:val="00D53B73"/>
    <w:rsid w:val="00D9308C"/>
    <w:rsid w:val="00DA3FFF"/>
    <w:rsid w:val="00DB35BF"/>
    <w:rsid w:val="00DD0F6F"/>
    <w:rsid w:val="00DD5CE7"/>
    <w:rsid w:val="00DE03B0"/>
    <w:rsid w:val="00DE57CC"/>
    <w:rsid w:val="00DE5887"/>
    <w:rsid w:val="00DF24ED"/>
    <w:rsid w:val="00DF4880"/>
    <w:rsid w:val="00E0727C"/>
    <w:rsid w:val="00E17629"/>
    <w:rsid w:val="00E20338"/>
    <w:rsid w:val="00E2513F"/>
    <w:rsid w:val="00E27944"/>
    <w:rsid w:val="00E53B87"/>
    <w:rsid w:val="00E63C24"/>
    <w:rsid w:val="00E70B1D"/>
    <w:rsid w:val="00E7134A"/>
    <w:rsid w:val="00EB141B"/>
    <w:rsid w:val="00EB3223"/>
    <w:rsid w:val="00ED0316"/>
    <w:rsid w:val="00EE48B1"/>
    <w:rsid w:val="00EF73B3"/>
    <w:rsid w:val="00F00936"/>
    <w:rsid w:val="00F12AC7"/>
    <w:rsid w:val="00F23832"/>
    <w:rsid w:val="00F308DA"/>
    <w:rsid w:val="00F3731C"/>
    <w:rsid w:val="00F378E7"/>
    <w:rsid w:val="00F42738"/>
    <w:rsid w:val="00F46C11"/>
    <w:rsid w:val="00F54738"/>
    <w:rsid w:val="00F57663"/>
    <w:rsid w:val="00F6188F"/>
    <w:rsid w:val="00F62204"/>
    <w:rsid w:val="00F75B6A"/>
    <w:rsid w:val="00F86C4D"/>
    <w:rsid w:val="00F87E0A"/>
    <w:rsid w:val="00FA06CD"/>
    <w:rsid w:val="00FA2255"/>
    <w:rsid w:val="00FA339E"/>
    <w:rsid w:val="00FA7109"/>
    <w:rsid w:val="00FB05ED"/>
    <w:rsid w:val="00FE1B33"/>
    <w:rsid w:val="00FE3695"/>
    <w:rsid w:val="00FE7338"/>
    <w:rsid w:val="00FE7896"/>
    <w:rsid w:val="00FF2D04"/>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69EC1"/>
  <w15:chartTrackingRefBased/>
  <w15:docId w15:val="{80B5826E-09D2-40C1-8ACD-9D54A220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A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A89"/>
    <w:rPr>
      <w:rFonts w:ascii="Times New Roman" w:hAnsi="Times New Roman" w:cs="Times New Roman"/>
      <w:sz w:val="18"/>
      <w:szCs w:val="18"/>
    </w:rPr>
  </w:style>
  <w:style w:type="character" w:customStyle="1" w:styleId="markedcontent">
    <w:name w:val="markedcontent"/>
    <w:basedOn w:val="DefaultParagraphFont"/>
    <w:rsid w:val="003A09A1"/>
  </w:style>
  <w:style w:type="character" w:styleId="CommentReference">
    <w:name w:val="annotation reference"/>
    <w:basedOn w:val="DefaultParagraphFont"/>
    <w:uiPriority w:val="99"/>
    <w:semiHidden/>
    <w:unhideWhenUsed/>
    <w:rsid w:val="00095D4F"/>
    <w:rPr>
      <w:sz w:val="16"/>
      <w:szCs w:val="16"/>
    </w:rPr>
  </w:style>
  <w:style w:type="paragraph" w:styleId="CommentText">
    <w:name w:val="annotation text"/>
    <w:basedOn w:val="Normal"/>
    <w:link w:val="CommentTextChar"/>
    <w:uiPriority w:val="99"/>
    <w:semiHidden/>
    <w:unhideWhenUsed/>
    <w:rsid w:val="00095D4F"/>
    <w:pPr>
      <w:spacing w:line="240" w:lineRule="auto"/>
    </w:pPr>
    <w:rPr>
      <w:sz w:val="20"/>
      <w:szCs w:val="20"/>
    </w:rPr>
  </w:style>
  <w:style w:type="character" w:customStyle="1" w:styleId="CommentTextChar">
    <w:name w:val="Comment Text Char"/>
    <w:basedOn w:val="DefaultParagraphFont"/>
    <w:link w:val="CommentText"/>
    <w:uiPriority w:val="99"/>
    <w:semiHidden/>
    <w:rsid w:val="00095D4F"/>
    <w:rPr>
      <w:sz w:val="20"/>
      <w:szCs w:val="20"/>
    </w:rPr>
  </w:style>
  <w:style w:type="paragraph" w:styleId="CommentSubject">
    <w:name w:val="annotation subject"/>
    <w:basedOn w:val="CommentText"/>
    <w:next w:val="CommentText"/>
    <w:link w:val="CommentSubjectChar"/>
    <w:uiPriority w:val="99"/>
    <w:semiHidden/>
    <w:unhideWhenUsed/>
    <w:rsid w:val="00095D4F"/>
    <w:rPr>
      <w:b/>
      <w:bCs/>
    </w:rPr>
  </w:style>
  <w:style w:type="character" w:customStyle="1" w:styleId="CommentSubjectChar">
    <w:name w:val="Comment Subject Char"/>
    <w:basedOn w:val="CommentTextChar"/>
    <w:link w:val="CommentSubject"/>
    <w:uiPriority w:val="99"/>
    <w:semiHidden/>
    <w:rsid w:val="00095D4F"/>
    <w:rPr>
      <w:b/>
      <w:bCs/>
      <w:sz w:val="20"/>
      <w:szCs w:val="20"/>
    </w:rPr>
  </w:style>
  <w:style w:type="paragraph" w:styleId="Header">
    <w:name w:val="header"/>
    <w:basedOn w:val="Normal"/>
    <w:link w:val="HeaderChar"/>
    <w:uiPriority w:val="99"/>
    <w:unhideWhenUsed/>
    <w:rsid w:val="00284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7A"/>
  </w:style>
  <w:style w:type="paragraph" w:styleId="Footer">
    <w:name w:val="footer"/>
    <w:basedOn w:val="Normal"/>
    <w:link w:val="FooterChar"/>
    <w:uiPriority w:val="99"/>
    <w:unhideWhenUsed/>
    <w:rsid w:val="00284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7A"/>
  </w:style>
  <w:style w:type="paragraph" w:styleId="Revision">
    <w:name w:val="Revision"/>
    <w:hidden/>
    <w:uiPriority w:val="99"/>
    <w:semiHidden/>
    <w:rsid w:val="0031145F"/>
    <w:pPr>
      <w:spacing w:after="0" w:line="240" w:lineRule="auto"/>
    </w:pPr>
  </w:style>
  <w:style w:type="paragraph" w:customStyle="1" w:styleId="Pa5">
    <w:name w:val="Pa5"/>
    <w:basedOn w:val="Normal"/>
    <w:next w:val="Normal"/>
    <w:uiPriority w:val="99"/>
    <w:rsid w:val="002924BF"/>
    <w:pPr>
      <w:autoSpaceDE w:val="0"/>
      <w:autoSpaceDN w:val="0"/>
      <w:adjustRightInd w:val="0"/>
      <w:spacing w:after="0" w:line="171" w:lineRule="atLeast"/>
    </w:pPr>
    <w:rPr>
      <w:rFonts w:ascii="Gotham Bold" w:hAnsi="Gotham Bold"/>
      <w:sz w:val="24"/>
      <w:szCs w:val="24"/>
    </w:rPr>
  </w:style>
  <w:style w:type="character" w:customStyle="1" w:styleId="A1">
    <w:name w:val="A1"/>
    <w:uiPriority w:val="99"/>
    <w:rsid w:val="002924BF"/>
    <w:rPr>
      <w:rFonts w:cs="Gotham Bold"/>
      <w:color w:val="221E1F"/>
      <w:sz w:val="18"/>
      <w:szCs w:val="18"/>
    </w:rPr>
  </w:style>
  <w:style w:type="character" w:styleId="PageNumber">
    <w:name w:val="page number"/>
    <w:basedOn w:val="DefaultParagraphFont"/>
    <w:uiPriority w:val="99"/>
    <w:semiHidden/>
    <w:unhideWhenUsed/>
    <w:rsid w:val="00DD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614">
      <w:bodyDiv w:val="1"/>
      <w:marLeft w:val="0"/>
      <w:marRight w:val="0"/>
      <w:marTop w:val="0"/>
      <w:marBottom w:val="0"/>
      <w:divBdr>
        <w:top w:val="none" w:sz="0" w:space="0" w:color="auto"/>
        <w:left w:val="none" w:sz="0" w:space="0" w:color="auto"/>
        <w:bottom w:val="none" w:sz="0" w:space="0" w:color="auto"/>
        <w:right w:val="none" w:sz="0" w:space="0" w:color="auto"/>
      </w:divBdr>
    </w:div>
    <w:div w:id="157962906">
      <w:bodyDiv w:val="1"/>
      <w:marLeft w:val="0"/>
      <w:marRight w:val="0"/>
      <w:marTop w:val="0"/>
      <w:marBottom w:val="0"/>
      <w:divBdr>
        <w:top w:val="none" w:sz="0" w:space="0" w:color="auto"/>
        <w:left w:val="none" w:sz="0" w:space="0" w:color="auto"/>
        <w:bottom w:val="none" w:sz="0" w:space="0" w:color="auto"/>
        <w:right w:val="none" w:sz="0" w:space="0" w:color="auto"/>
      </w:divBdr>
    </w:div>
    <w:div w:id="654722199">
      <w:bodyDiv w:val="1"/>
      <w:marLeft w:val="0"/>
      <w:marRight w:val="0"/>
      <w:marTop w:val="0"/>
      <w:marBottom w:val="0"/>
      <w:divBdr>
        <w:top w:val="none" w:sz="0" w:space="0" w:color="auto"/>
        <w:left w:val="none" w:sz="0" w:space="0" w:color="auto"/>
        <w:bottom w:val="none" w:sz="0" w:space="0" w:color="auto"/>
        <w:right w:val="none" w:sz="0" w:space="0" w:color="auto"/>
      </w:divBdr>
    </w:div>
    <w:div w:id="772017229">
      <w:bodyDiv w:val="1"/>
      <w:marLeft w:val="0"/>
      <w:marRight w:val="0"/>
      <w:marTop w:val="0"/>
      <w:marBottom w:val="0"/>
      <w:divBdr>
        <w:top w:val="none" w:sz="0" w:space="0" w:color="auto"/>
        <w:left w:val="none" w:sz="0" w:space="0" w:color="auto"/>
        <w:bottom w:val="none" w:sz="0" w:space="0" w:color="auto"/>
        <w:right w:val="none" w:sz="0" w:space="0" w:color="auto"/>
      </w:divBdr>
    </w:div>
    <w:div w:id="775565639">
      <w:bodyDiv w:val="1"/>
      <w:marLeft w:val="0"/>
      <w:marRight w:val="0"/>
      <w:marTop w:val="0"/>
      <w:marBottom w:val="0"/>
      <w:divBdr>
        <w:top w:val="none" w:sz="0" w:space="0" w:color="auto"/>
        <w:left w:val="none" w:sz="0" w:space="0" w:color="auto"/>
        <w:bottom w:val="none" w:sz="0" w:space="0" w:color="auto"/>
        <w:right w:val="none" w:sz="0" w:space="0" w:color="auto"/>
      </w:divBdr>
    </w:div>
    <w:div w:id="894700762">
      <w:bodyDiv w:val="1"/>
      <w:marLeft w:val="0"/>
      <w:marRight w:val="0"/>
      <w:marTop w:val="0"/>
      <w:marBottom w:val="0"/>
      <w:divBdr>
        <w:top w:val="none" w:sz="0" w:space="0" w:color="auto"/>
        <w:left w:val="none" w:sz="0" w:space="0" w:color="auto"/>
        <w:bottom w:val="none" w:sz="0" w:space="0" w:color="auto"/>
        <w:right w:val="none" w:sz="0" w:space="0" w:color="auto"/>
      </w:divBdr>
    </w:div>
    <w:div w:id="914509882">
      <w:bodyDiv w:val="1"/>
      <w:marLeft w:val="0"/>
      <w:marRight w:val="0"/>
      <w:marTop w:val="0"/>
      <w:marBottom w:val="0"/>
      <w:divBdr>
        <w:top w:val="none" w:sz="0" w:space="0" w:color="auto"/>
        <w:left w:val="none" w:sz="0" w:space="0" w:color="auto"/>
        <w:bottom w:val="none" w:sz="0" w:space="0" w:color="auto"/>
        <w:right w:val="none" w:sz="0" w:space="0" w:color="auto"/>
      </w:divBdr>
    </w:div>
    <w:div w:id="1033387865">
      <w:bodyDiv w:val="1"/>
      <w:marLeft w:val="0"/>
      <w:marRight w:val="0"/>
      <w:marTop w:val="0"/>
      <w:marBottom w:val="0"/>
      <w:divBdr>
        <w:top w:val="none" w:sz="0" w:space="0" w:color="auto"/>
        <w:left w:val="none" w:sz="0" w:space="0" w:color="auto"/>
        <w:bottom w:val="none" w:sz="0" w:space="0" w:color="auto"/>
        <w:right w:val="none" w:sz="0" w:space="0" w:color="auto"/>
      </w:divBdr>
    </w:div>
    <w:div w:id="1086413973">
      <w:bodyDiv w:val="1"/>
      <w:marLeft w:val="0"/>
      <w:marRight w:val="0"/>
      <w:marTop w:val="0"/>
      <w:marBottom w:val="0"/>
      <w:divBdr>
        <w:top w:val="none" w:sz="0" w:space="0" w:color="auto"/>
        <w:left w:val="none" w:sz="0" w:space="0" w:color="auto"/>
        <w:bottom w:val="none" w:sz="0" w:space="0" w:color="auto"/>
        <w:right w:val="none" w:sz="0" w:space="0" w:color="auto"/>
      </w:divBdr>
    </w:div>
    <w:div w:id="1113861707">
      <w:bodyDiv w:val="1"/>
      <w:marLeft w:val="0"/>
      <w:marRight w:val="0"/>
      <w:marTop w:val="0"/>
      <w:marBottom w:val="0"/>
      <w:divBdr>
        <w:top w:val="none" w:sz="0" w:space="0" w:color="auto"/>
        <w:left w:val="none" w:sz="0" w:space="0" w:color="auto"/>
        <w:bottom w:val="none" w:sz="0" w:space="0" w:color="auto"/>
        <w:right w:val="none" w:sz="0" w:space="0" w:color="auto"/>
      </w:divBdr>
    </w:div>
    <w:div w:id="1196115502">
      <w:bodyDiv w:val="1"/>
      <w:marLeft w:val="0"/>
      <w:marRight w:val="0"/>
      <w:marTop w:val="0"/>
      <w:marBottom w:val="0"/>
      <w:divBdr>
        <w:top w:val="none" w:sz="0" w:space="0" w:color="auto"/>
        <w:left w:val="none" w:sz="0" w:space="0" w:color="auto"/>
        <w:bottom w:val="none" w:sz="0" w:space="0" w:color="auto"/>
        <w:right w:val="none" w:sz="0" w:space="0" w:color="auto"/>
      </w:divBdr>
    </w:div>
    <w:div w:id="1361592991">
      <w:bodyDiv w:val="1"/>
      <w:marLeft w:val="0"/>
      <w:marRight w:val="0"/>
      <w:marTop w:val="0"/>
      <w:marBottom w:val="0"/>
      <w:divBdr>
        <w:top w:val="none" w:sz="0" w:space="0" w:color="auto"/>
        <w:left w:val="none" w:sz="0" w:space="0" w:color="auto"/>
        <w:bottom w:val="none" w:sz="0" w:space="0" w:color="auto"/>
        <w:right w:val="none" w:sz="0" w:space="0" w:color="auto"/>
      </w:divBdr>
    </w:div>
    <w:div w:id="1472746807">
      <w:bodyDiv w:val="1"/>
      <w:marLeft w:val="0"/>
      <w:marRight w:val="0"/>
      <w:marTop w:val="0"/>
      <w:marBottom w:val="0"/>
      <w:divBdr>
        <w:top w:val="none" w:sz="0" w:space="0" w:color="auto"/>
        <w:left w:val="none" w:sz="0" w:space="0" w:color="auto"/>
        <w:bottom w:val="none" w:sz="0" w:space="0" w:color="auto"/>
        <w:right w:val="none" w:sz="0" w:space="0" w:color="auto"/>
      </w:divBdr>
    </w:div>
    <w:div w:id="1513715129">
      <w:bodyDiv w:val="1"/>
      <w:marLeft w:val="0"/>
      <w:marRight w:val="0"/>
      <w:marTop w:val="0"/>
      <w:marBottom w:val="0"/>
      <w:divBdr>
        <w:top w:val="none" w:sz="0" w:space="0" w:color="auto"/>
        <w:left w:val="none" w:sz="0" w:space="0" w:color="auto"/>
        <w:bottom w:val="none" w:sz="0" w:space="0" w:color="auto"/>
        <w:right w:val="none" w:sz="0" w:space="0" w:color="auto"/>
      </w:divBdr>
    </w:div>
    <w:div w:id="1645088181">
      <w:bodyDiv w:val="1"/>
      <w:marLeft w:val="0"/>
      <w:marRight w:val="0"/>
      <w:marTop w:val="0"/>
      <w:marBottom w:val="0"/>
      <w:divBdr>
        <w:top w:val="none" w:sz="0" w:space="0" w:color="auto"/>
        <w:left w:val="none" w:sz="0" w:space="0" w:color="auto"/>
        <w:bottom w:val="none" w:sz="0" w:space="0" w:color="auto"/>
        <w:right w:val="none" w:sz="0" w:space="0" w:color="auto"/>
      </w:divBdr>
    </w:div>
    <w:div w:id="1683236486">
      <w:bodyDiv w:val="1"/>
      <w:marLeft w:val="0"/>
      <w:marRight w:val="0"/>
      <w:marTop w:val="0"/>
      <w:marBottom w:val="0"/>
      <w:divBdr>
        <w:top w:val="none" w:sz="0" w:space="0" w:color="auto"/>
        <w:left w:val="none" w:sz="0" w:space="0" w:color="auto"/>
        <w:bottom w:val="none" w:sz="0" w:space="0" w:color="auto"/>
        <w:right w:val="none" w:sz="0" w:space="0" w:color="auto"/>
      </w:divBdr>
    </w:div>
    <w:div w:id="1726299999">
      <w:bodyDiv w:val="1"/>
      <w:marLeft w:val="0"/>
      <w:marRight w:val="0"/>
      <w:marTop w:val="0"/>
      <w:marBottom w:val="0"/>
      <w:divBdr>
        <w:top w:val="none" w:sz="0" w:space="0" w:color="auto"/>
        <w:left w:val="none" w:sz="0" w:space="0" w:color="auto"/>
        <w:bottom w:val="none" w:sz="0" w:space="0" w:color="auto"/>
        <w:right w:val="none" w:sz="0" w:space="0" w:color="auto"/>
      </w:divBdr>
    </w:div>
    <w:div w:id="1834291658">
      <w:bodyDiv w:val="1"/>
      <w:marLeft w:val="0"/>
      <w:marRight w:val="0"/>
      <w:marTop w:val="0"/>
      <w:marBottom w:val="0"/>
      <w:divBdr>
        <w:top w:val="none" w:sz="0" w:space="0" w:color="auto"/>
        <w:left w:val="none" w:sz="0" w:space="0" w:color="auto"/>
        <w:bottom w:val="none" w:sz="0" w:space="0" w:color="auto"/>
        <w:right w:val="none" w:sz="0" w:space="0" w:color="auto"/>
      </w:divBdr>
    </w:div>
    <w:div w:id="2092660633">
      <w:bodyDiv w:val="1"/>
      <w:marLeft w:val="0"/>
      <w:marRight w:val="0"/>
      <w:marTop w:val="0"/>
      <w:marBottom w:val="0"/>
      <w:divBdr>
        <w:top w:val="none" w:sz="0" w:space="0" w:color="auto"/>
        <w:left w:val="none" w:sz="0" w:space="0" w:color="auto"/>
        <w:bottom w:val="none" w:sz="0" w:space="0" w:color="auto"/>
        <w:right w:val="none" w:sz="0" w:space="0" w:color="auto"/>
      </w:divBdr>
    </w:div>
    <w:div w:id="21210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E8039F12CAC499B6A66C1F370095E" ma:contentTypeVersion="8" ma:contentTypeDescription="Create a new document." ma:contentTypeScope="" ma:versionID="168b1102bc82d115bbb6d10e803cdc9c">
  <xsd:schema xmlns:xsd="http://www.w3.org/2001/XMLSchema" xmlns:xs="http://www.w3.org/2001/XMLSchema" xmlns:p="http://schemas.microsoft.com/office/2006/metadata/properties" xmlns:ns2="985c6636-760b-4397-b77b-b5193abe5f3b" targetNamespace="http://schemas.microsoft.com/office/2006/metadata/properties" ma:root="true" ma:fieldsID="93a158ba0619cfde34f11e648e8344de" ns2:_="">
    <xsd:import namespace="985c6636-760b-4397-b77b-b5193abe5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c6636-760b-4397-b77b-b5193abe5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C779F-A547-40A6-9588-EFB4D960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c6636-760b-4397-b77b-b5193abe5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70848-EFF1-4A4F-B3BC-0E73CAEB770A}">
  <ds:schemaRefs>
    <ds:schemaRef ds:uri="http://schemas.openxmlformats.org/officeDocument/2006/bibliography"/>
  </ds:schemaRefs>
</ds:datastoreItem>
</file>

<file path=customXml/itemProps3.xml><?xml version="1.0" encoding="utf-8"?>
<ds:datastoreItem xmlns:ds="http://schemas.openxmlformats.org/officeDocument/2006/customXml" ds:itemID="{0A3C28BF-58C6-44F0-B032-70F7C59894F5}">
  <ds:schemaRefs>
    <ds:schemaRef ds:uri="http://schemas.microsoft.com/sharepoint/v3/contenttype/forms"/>
  </ds:schemaRefs>
</ds:datastoreItem>
</file>

<file path=customXml/itemProps4.xml><?xml version="1.0" encoding="utf-8"?>
<ds:datastoreItem xmlns:ds="http://schemas.openxmlformats.org/officeDocument/2006/customXml" ds:itemID="{C30ACEB3-05A6-4FAD-88E3-0CE4D172AB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Watts, Shawn</cp:lastModifiedBy>
  <cp:revision>2</cp:revision>
  <dcterms:created xsi:type="dcterms:W3CDTF">2022-06-10T12:53:00Z</dcterms:created>
  <dcterms:modified xsi:type="dcterms:W3CDTF">2022-06-10T12:53:00Z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0x0101008D9E8039F12CAC499B6A66C1F370095E</vt:lpwstr>
  </property>
</Properties>
</file>